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 Usage Policy</w:t>
      </w:r>
    </w:p>
    <w:p>
      <w:r>
        <w:rPr>
          <w:b/>
          <w:sz w:val="24"/>
        </w:rPr>
        <w:t>[Practice name] (Pty) Ltd, an authorised financial services provider, FSP [number]</w:t>
      </w:r>
    </w:p>
    <w:p>
      <w:pPr>
        <w:spacing w:after="160"/>
      </w:pPr>
      <w:r>
        <w:rPr>
          <w:i/>
          <w:color w:val="6B6B70"/>
          <w:sz w:val="18"/>
        </w:rPr>
        <w:t>Guidance: This is a template. Replace every item in square brackets, delete the guidance notes in grey, and have the practice's information officer and compliance officer approve the final text. It is written for a small or mid-sized FSP; a larger firm may need to split it into a policy and a procedure.</w:t>
      </w:r>
    </w:p>
    <w:tbl>
      <w:tblPr>
        <w:tblStyle w:val="TableGrid"/>
        <w:tblW w:type="auto" w:w="0"/>
        <w:jc w:val="center"/>
        <w:tblLook w:firstColumn="1" w:firstRow="1" w:lastColumn="0" w:lastRow="0" w:noHBand="0" w:noVBand="1" w:val="04A0"/>
      </w:tblPr>
      <w:tblGrid>
        <w:gridCol w:w="4706"/>
        <w:gridCol w:w="4706"/>
      </w:tblGrid>
      <w:tr>
        <w:tc>
          <w:tcPr>
            <w:tcW w:type="dxa" w:w="2551"/>
            <w:shd w:val="clear" w:color="auto" w:fill="1C4753"/>
          </w:tcPr>
          <w:p>
            <w:r/>
            <w:r>
              <w:rPr>
                <w:b/>
                <w:color w:val="FFFFFF"/>
                <w:sz w:val="18"/>
              </w:rPr>
              <w:t>Item</w:t>
            </w:r>
          </w:p>
        </w:tc>
        <w:tc>
          <w:tcPr>
            <w:tcW w:type="dxa" w:w="6860"/>
            <w:shd w:val="clear" w:color="auto" w:fill="1C4753"/>
          </w:tcPr>
          <w:p>
            <w:r/>
            <w:r>
              <w:rPr>
                <w:b/>
                <w:color w:val="FFFFFF"/>
                <w:sz w:val="18"/>
              </w:rPr>
              <w:t>Detail</w:t>
            </w:r>
          </w:p>
        </w:tc>
      </w:tr>
      <w:tr>
        <w:tc>
          <w:tcPr>
            <w:tcW w:type="dxa" w:w="2551"/>
          </w:tcPr>
          <w:p>
            <w:r/>
            <w:r>
              <w:rPr>
                <w:sz w:val="18"/>
              </w:rPr>
              <w:t>Policy owner</w:t>
            </w:r>
          </w:p>
        </w:tc>
        <w:tc>
          <w:tcPr>
            <w:tcW w:type="dxa" w:w="6860"/>
          </w:tcPr>
          <w:p>
            <w:r/>
            <w:r>
              <w:rPr>
                <w:sz w:val="18"/>
              </w:rPr>
              <w:t>[Information Officer]</w:t>
            </w:r>
          </w:p>
        </w:tc>
      </w:tr>
      <w:tr>
        <w:tc>
          <w:tcPr>
            <w:tcW w:type="dxa" w:w="2551"/>
          </w:tcPr>
          <w:p>
            <w:r/>
            <w:r>
              <w:rPr>
                <w:sz w:val="18"/>
              </w:rPr>
              <w:t>Approved by</w:t>
            </w:r>
          </w:p>
        </w:tc>
        <w:tc>
          <w:tcPr>
            <w:tcW w:type="dxa" w:w="6860"/>
          </w:tcPr>
          <w:p>
            <w:r/>
            <w:r>
              <w:rPr>
                <w:sz w:val="18"/>
              </w:rPr>
              <w:t>[Key individual / director], [Compliance Officer]</w:t>
            </w:r>
          </w:p>
        </w:tc>
      </w:tr>
      <w:tr>
        <w:tc>
          <w:tcPr>
            <w:tcW w:type="dxa" w:w="2551"/>
          </w:tcPr>
          <w:p>
            <w:r/>
            <w:r>
              <w:rPr>
                <w:sz w:val="18"/>
              </w:rPr>
              <w:t>Version and date approved</w:t>
            </w:r>
          </w:p>
        </w:tc>
        <w:tc>
          <w:tcPr>
            <w:tcW w:type="dxa" w:w="6860"/>
          </w:tcPr>
          <w:p>
            <w:r/>
            <w:r>
              <w:rPr>
                <w:sz w:val="18"/>
              </w:rPr>
              <w:t>[1.0], [date]</w:t>
            </w:r>
          </w:p>
        </w:tc>
      </w:tr>
      <w:tr>
        <w:tc>
          <w:tcPr>
            <w:tcW w:type="dxa" w:w="2551"/>
          </w:tcPr>
          <w:p>
            <w:r/>
            <w:r>
              <w:rPr>
                <w:sz w:val="18"/>
              </w:rPr>
              <w:t>Next review date</w:t>
            </w:r>
          </w:p>
        </w:tc>
        <w:tc>
          <w:tcPr>
            <w:tcW w:type="dxa" w:w="6860"/>
          </w:tcPr>
          <w:p>
            <w:r/>
            <w:r>
              <w:rPr>
                <w:sz w:val="18"/>
              </w:rPr>
              <w:t>[date, no later than twelve months after approval]</w:t>
            </w:r>
          </w:p>
        </w:tc>
      </w:tr>
      <w:tr>
        <w:tc>
          <w:tcPr>
            <w:tcW w:type="dxa" w:w="2551"/>
          </w:tcPr>
          <w:p>
            <w:r/>
            <w:r>
              <w:rPr>
                <w:sz w:val="18"/>
              </w:rPr>
              <w:t>Related documents</w:t>
            </w:r>
          </w:p>
        </w:tc>
        <w:tc>
          <w:tcPr>
            <w:tcW w:type="dxa" w:w="6860"/>
          </w:tcPr>
          <w:p>
            <w:r/>
            <w:r>
              <w:rPr>
                <w:sz w:val="18"/>
              </w:rPr>
              <w:t>[POPIA compliance framework, information security policy, PAIA manual, privacy notice, personal information impact assessment, incident response procedure]</w:t>
            </w:r>
          </w:p>
        </w:tc>
      </w:tr>
    </w:tbl>
    <w:p/>
    <w:p>
      <w:pPr>
        <w:pStyle w:val="Heading1"/>
      </w:pPr>
      <w:r>
        <w:t>1. Purpose</w:t>
      </w:r>
    </w:p>
    <w:p>
      <w:r>
        <w:t>This policy sets out how people at [Practice name] ("the practice") may use artificial intelligence (AI) tools, so that the practice benefits from them while meeting its duties under the Protection of Personal Information Act 4 of 2013 (POPIA), the Financial Advisory and Intermediary Services Act 37 of 2002 (FAIS) and the General Code of Conduct, and the confidentiality it owes its clients.</w:t>
      </w:r>
    </w:p>
    <w:p>
      <w:r>
        <w:t>Its rule in one sentence: identifiable client information goes only into AI tools the practice has approved for it, and nothing an AI tool produces reaches a client or becomes advice until a named person has reviewed and approved it.</w:t>
      </w:r>
    </w:p>
    <w:p>
      <w:pPr>
        <w:pStyle w:val="Heading1"/>
      </w:pPr>
      <w:r>
        <w:t>2. Scope</w:t>
      </w:r>
    </w:p>
    <w:p>
      <w:r>
        <w:t>This policy applies to every director, key individual, representative, employee, paraplanner, administrator, contractor and temporary worker of the practice ("users"), on any device, whether the practice's or their own, at the office or elsewhere.</w:t>
      </w:r>
    </w:p>
    <w:p>
      <w:r>
        <w:t>It covers every AI tool, including:</w:t>
      </w:r>
    </w:p>
    <w:p>
      <w:pPr>
        <w:pStyle w:val="ListBullet"/>
      </w:pPr>
      <w:r>
        <w:t>chat assistants (for example ChatGPT, Claude, Gemini, Copilot), on the web, in an app or on a phone;</w:t>
      </w:r>
    </w:p>
    <w:p>
      <w:pPr>
        <w:pStyle w:val="ListBullet"/>
      </w:pPr>
      <w:r>
        <w:t>AI features built into email, office, CRM, planning or document software;</w:t>
      </w:r>
    </w:p>
    <w:p>
      <w:pPr>
        <w:pStyle w:val="ListBullet"/>
      </w:pPr>
      <w:r>
        <w:t>meeting recorders, transcription and note-taking tools;</w:t>
      </w:r>
    </w:p>
    <w:p>
      <w:pPr>
        <w:pStyle w:val="ListBullet"/>
      </w:pPr>
      <w:r>
        <w:t>browser extensions, writing aids and translation tools that send text to an outside service;</w:t>
      </w:r>
    </w:p>
    <w:p>
      <w:pPr>
        <w:pStyle w:val="ListBullet"/>
      </w:pPr>
      <w:r>
        <w:t>any software the practice uses that sends client information to an AI model on its behalf.</w:t>
      </w:r>
    </w:p>
    <w:p>
      <w:pPr>
        <w:spacing w:after="160"/>
      </w:pPr>
      <w:r>
        <w:rPr>
          <w:i/>
          <w:color w:val="6B6B70"/>
          <w:sz w:val="18"/>
        </w:rPr>
        <w:t>Guidance: List here any AI features already switched on in software the practice uses. Many office and CRM products add AI features by default; each one is an AI tool under this policy.</w:t>
      </w:r>
    </w:p>
    <w:p>
      <w:pPr>
        <w:pStyle w:val="Heading1"/>
      </w:pPr>
      <w:r>
        <w:t>3. Definitions</w:t>
      </w:r>
    </w:p>
    <w:p>
      <w:pPr>
        <w:pStyle w:val="ListBullet"/>
      </w:pPr>
      <w:r>
        <w:rPr>
          <w:b/>
        </w:rPr>
        <w:t xml:space="preserve">Client information: </w:t>
      </w:r>
      <w:r>
        <w:t>any personal information about a client or prospect, or about anyone in their file (spouse, children, dependants, beneficiaries, employers), including notes of meetings.</w:t>
      </w:r>
    </w:p>
    <w:p>
      <w:pPr>
        <w:pStyle w:val="ListBullet"/>
      </w:pPr>
      <w:r>
        <w:rPr>
          <w:b/>
        </w:rPr>
        <w:t xml:space="preserve">Identifiable: </w:t>
      </w:r>
      <w:r>
        <w:t>information from which a person can be identified, directly or by combining it with other information.</w:t>
      </w:r>
    </w:p>
    <w:p>
      <w:pPr>
        <w:pStyle w:val="ListBullet"/>
      </w:pPr>
      <w:r>
        <w:rPr>
          <w:b/>
        </w:rPr>
        <w:t xml:space="preserve">Special personal information: </w:t>
      </w:r>
      <w:r>
        <w:t>as defined in section 26 of POPIA, including health (medical history, conditions, underwriting information), religious or philosophical beliefs, race or ethnic origin, trade union membership, political persuasion, sex life, biometric information and criminal behaviour.</w:t>
      </w:r>
    </w:p>
    <w:p>
      <w:pPr>
        <w:pStyle w:val="ListBullet"/>
      </w:pPr>
      <w:r>
        <w:rPr>
          <w:b/>
        </w:rPr>
        <w:t xml:space="preserve">De-identified information: </w:t>
      </w:r>
      <w:r>
        <w:t>information from which everything that identifies the person has been removed so that it cannot reasonably be re-identified. POPIA does not apply to it (section 6).</w:t>
      </w:r>
    </w:p>
    <w:p>
      <w:pPr>
        <w:pStyle w:val="ListBullet"/>
      </w:pPr>
      <w:r>
        <w:rPr>
          <w:b/>
        </w:rPr>
        <w:t xml:space="preserve">Approved tool: </w:t>
      </w:r>
      <w:r>
        <w:t>an AI tool listed in section 5 as approved, used through the account and plan named there.</w:t>
      </w:r>
    </w:p>
    <w:p>
      <w:pPr>
        <w:pStyle w:val="ListBullet"/>
      </w:pPr>
      <w:r>
        <w:rPr>
          <w:b/>
        </w:rPr>
        <w:t xml:space="preserve">Operator: </w:t>
      </w:r>
      <w:r>
        <w:t>anyone who processes personal information for the practice under a contract (section 1 of POPIA). An AI provider that receives identifiable client information is an operator.</w:t>
      </w:r>
    </w:p>
    <w:p>
      <w:pPr>
        <w:pStyle w:val="Heading1"/>
      </w:pPr>
      <w:r>
        <w:t>4. Roles and responsibilities</w:t>
      </w:r>
    </w:p>
    <w:tbl>
      <w:tblPr>
        <w:tblStyle w:val="TableGrid"/>
        <w:tblW w:type="auto" w:w="0"/>
        <w:jc w:val="center"/>
        <w:tblLook w:firstColumn="1" w:firstRow="1" w:lastColumn="0" w:lastRow="0" w:noHBand="0" w:noVBand="1" w:val="04A0"/>
      </w:tblPr>
      <w:tblGrid>
        <w:gridCol w:w="3137"/>
        <w:gridCol w:w="3137"/>
        <w:gridCol w:w="3137"/>
      </w:tblGrid>
      <w:tr>
        <w:tc>
          <w:tcPr>
            <w:tcW w:type="dxa" w:w="1928"/>
            <w:shd w:val="clear" w:color="auto" w:fill="1C4753"/>
          </w:tcPr>
          <w:p>
            <w:r/>
            <w:r>
              <w:rPr>
                <w:b/>
                <w:color w:val="FFFFFF"/>
                <w:sz w:val="18"/>
              </w:rPr>
              <w:t>Role</w:t>
            </w:r>
          </w:p>
        </w:tc>
        <w:tc>
          <w:tcPr>
            <w:tcW w:type="dxa" w:w="2608"/>
            <w:shd w:val="clear" w:color="auto" w:fill="1C4753"/>
          </w:tcPr>
          <w:p>
            <w:r/>
            <w:r>
              <w:rPr>
                <w:b/>
                <w:color w:val="FFFFFF"/>
                <w:sz w:val="18"/>
              </w:rPr>
              <w:t>Who</w:t>
            </w:r>
          </w:p>
        </w:tc>
        <w:tc>
          <w:tcPr>
            <w:tcW w:type="dxa" w:w="4876"/>
            <w:shd w:val="clear" w:color="auto" w:fill="1C4753"/>
          </w:tcPr>
          <w:p>
            <w:r/>
            <w:r>
              <w:rPr>
                <w:b/>
                <w:color w:val="FFFFFF"/>
                <w:sz w:val="18"/>
              </w:rPr>
              <w:t>Responsibilities under this policy</w:t>
            </w:r>
          </w:p>
        </w:tc>
      </w:tr>
      <w:tr>
        <w:tc>
          <w:tcPr>
            <w:tcW w:type="dxa" w:w="1928"/>
          </w:tcPr>
          <w:p>
            <w:r/>
            <w:r>
              <w:rPr>
                <w:sz w:val="18"/>
              </w:rPr>
              <w:t>Responsible party</w:t>
            </w:r>
          </w:p>
        </w:tc>
        <w:tc>
          <w:tcPr>
            <w:tcW w:type="dxa" w:w="2608"/>
          </w:tcPr>
          <w:p>
            <w:r/>
            <w:r>
              <w:rPr>
                <w:sz w:val="18"/>
              </w:rPr>
              <w:t>[Practice name]</w:t>
            </w:r>
          </w:p>
        </w:tc>
        <w:tc>
          <w:tcPr>
            <w:tcW w:type="dxa" w:w="4876"/>
          </w:tcPr>
          <w:p>
            <w:r/>
            <w:r>
              <w:rPr>
                <w:sz w:val="18"/>
              </w:rPr>
              <w:t>Decides why and how client information is processed and is accountable for it under POPIA.</w:t>
            </w:r>
          </w:p>
        </w:tc>
      </w:tr>
      <w:tr>
        <w:tc>
          <w:tcPr>
            <w:tcW w:type="dxa" w:w="1928"/>
          </w:tcPr>
          <w:p>
            <w:r/>
            <w:r>
              <w:rPr>
                <w:sz w:val="18"/>
              </w:rPr>
              <w:t>Information Officer</w:t>
            </w:r>
          </w:p>
        </w:tc>
        <w:tc>
          <w:tcPr>
            <w:tcW w:type="dxa" w:w="2608"/>
          </w:tcPr>
          <w:p>
            <w:r/>
            <w:r>
              <w:rPr>
                <w:sz w:val="18"/>
              </w:rPr>
              <w:t>[Information Officer], registered with the Information Regulator</w:t>
            </w:r>
          </w:p>
        </w:tc>
        <w:tc>
          <w:tcPr>
            <w:tcW w:type="dxa" w:w="4876"/>
          </w:tcPr>
          <w:p>
            <w:r/>
            <w:r>
              <w:rPr>
                <w:sz w:val="18"/>
              </w:rPr>
              <w:t>Owns this policy; approves or refuses each AI tool; keeps the register in section 5; makes sure a personal information impact assessment is done for each approved tool; handles incidents under section 11.</w:t>
            </w:r>
          </w:p>
        </w:tc>
      </w:tr>
      <w:tr>
        <w:tc>
          <w:tcPr>
            <w:tcW w:type="dxa" w:w="1928"/>
          </w:tcPr>
          <w:p>
            <w:r/>
            <w:r>
              <w:rPr>
                <w:sz w:val="18"/>
              </w:rPr>
              <w:t>Deputy Information Officer</w:t>
            </w:r>
          </w:p>
        </w:tc>
        <w:tc>
          <w:tcPr>
            <w:tcW w:type="dxa" w:w="2608"/>
          </w:tcPr>
          <w:p>
            <w:r/>
            <w:r>
              <w:rPr>
                <w:sz w:val="18"/>
              </w:rPr>
              <w:t>[Deputy Information Officer, if any]</w:t>
            </w:r>
          </w:p>
        </w:tc>
        <w:tc>
          <w:tcPr>
            <w:tcW w:type="dxa" w:w="4876"/>
          </w:tcPr>
          <w:p>
            <w:r/>
            <w:r>
              <w:rPr>
                <w:sz w:val="18"/>
              </w:rPr>
              <w:t>Acts for the Information Officer when delegated.</w:t>
            </w:r>
          </w:p>
        </w:tc>
      </w:tr>
      <w:tr>
        <w:tc>
          <w:tcPr>
            <w:tcW w:type="dxa" w:w="1928"/>
          </w:tcPr>
          <w:p>
            <w:r/>
            <w:r>
              <w:rPr>
                <w:sz w:val="18"/>
              </w:rPr>
              <w:t>Compliance Officer</w:t>
            </w:r>
          </w:p>
        </w:tc>
        <w:tc>
          <w:tcPr>
            <w:tcW w:type="dxa" w:w="2608"/>
          </w:tcPr>
          <w:p>
            <w:r/>
            <w:r>
              <w:rPr>
                <w:sz w:val="18"/>
              </w:rPr>
              <w:t>[Compliance Officer]</w:t>
            </w:r>
          </w:p>
        </w:tc>
        <w:tc>
          <w:tcPr>
            <w:tcW w:type="dxa" w:w="4876"/>
          </w:tcPr>
          <w:p>
            <w:r/>
            <w:r>
              <w:rPr>
                <w:sz w:val="18"/>
              </w:rPr>
              <w:t>Confirms that the use of each tool fits the practice's FAIS duties; reviews this policy and its monitoring; reports breaches to the key individual.</w:t>
            </w:r>
          </w:p>
        </w:tc>
      </w:tr>
      <w:tr>
        <w:tc>
          <w:tcPr>
            <w:tcW w:type="dxa" w:w="1928"/>
          </w:tcPr>
          <w:p>
            <w:r/>
            <w:r>
              <w:rPr>
                <w:sz w:val="18"/>
              </w:rPr>
              <w:t>Key individual</w:t>
            </w:r>
          </w:p>
        </w:tc>
        <w:tc>
          <w:tcPr>
            <w:tcW w:type="dxa" w:w="2608"/>
          </w:tcPr>
          <w:p>
            <w:r/>
            <w:r>
              <w:rPr>
                <w:sz w:val="18"/>
              </w:rPr>
              <w:t>[Key individual]</w:t>
            </w:r>
          </w:p>
        </w:tc>
        <w:tc>
          <w:tcPr>
            <w:tcW w:type="dxa" w:w="4876"/>
          </w:tcPr>
          <w:p>
            <w:r/>
            <w:r>
              <w:rPr>
                <w:sz w:val="18"/>
              </w:rPr>
              <w:t>Approves this policy and gives the resources to follow it.</w:t>
            </w:r>
          </w:p>
        </w:tc>
      </w:tr>
      <w:tr>
        <w:tc>
          <w:tcPr>
            <w:tcW w:type="dxa" w:w="1928"/>
          </w:tcPr>
          <w:p>
            <w:r/>
            <w:r>
              <w:rPr>
                <w:sz w:val="18"/>
              </w:rPr>
              <w:t>Representatives</w:t>
            </w:r>
          </w:p>
        </w:tc>
        <w:tc>
          <w:tcPr>
            <w:tcW w:type="dxa" w:w="2608"/>
          </w:tcPr>
          <w:p>
            <w:r/>
            <w:r>
              <w:rPr>
                <w:sz w:val="18"/>
              </w:rPr>
              <w:t>Every representative</w:t>
            </w:r>
          </w:p>
        </w:tc>
        <w:tc>
          <w:tcPr>
            <w:tcW w:type="dxa" w:w="4876"/>
          </w:tcPr>
          <w:p>
            <w:r/>
            <w:r>
              <w:rPr>
                <w:sz w:val="18"/>
              </w:rPr>
              <w:t>Remain responsible for the advice they give; review and sign every document an AI tool helped to draft.</w:t>
            </w:r>
          </w:p>
        </w:tc>
      </w:tr>
      <w:tr>
        <w:tc>
          <w:tcPr>
            <w:tcW w:type="dxa" w:w="1928"/>
          </w:tcPr>
          <w:p>
            <w:r/>
            <w:r>
              <w:rPr>
                <w:sz w:val="18"/>
              </w:rPr>
              <w:t>Every user</w:t>
            </w:r>
          </w:p>
        </w:tc>
        <w:tc>
          <w:tcPr>
            <w:tcW w:type="dxa" w:w="2608"/>
          </w:tcPr>
          <w:p>
            <w:r/>
            <w:r>
              <w:rPr>
                <w:sz w:val="18"/>
              </w:rPr>
              <w:t>Everyone in scope</w:t>
            </w:r>
          </w:p>
        </w:tc>
        <w:tc>
          <w:tcPr>
            <w:tcW w:type="dxa" w:w="4876"/>
          </w:tcPr>
          <w:p>
            <w:r/>
            <w:r>
              <w:rPr>
                <w:sz w:val="18"/>
              </w:rPr>
              <w:t>Follows this policy, completes the training, and reports any breach or suspected breach at once.</w:t>
            </w:r>
          </w:p>
        </w:tc>
      </w:tr>
    </w:tbl>
    <w:p/>
    <w:p>
      <w:pPr>
        <w:pStyle w:val="Heading1"/>
      </w:pPr>
      <w:r>
        <w:t>5. Approved and prohibited tools</w:t>
      </w:r>
    </w:p>
    <w:p>
      <w:r>
        <w:t>Only the tools in this register may be used for practice work. A tool, plan or account not listed here is not approved. The register is kept by the Information Officer and updated whenever a tool is approved, changed or withdrawn.</w:t>
      </w:r>
    </w:p>
    <w:tbl>
      <w:tblPr>
        <w:tblStyle w:val="TableGrid"/>
        <w:tblW w:type="auto" w:w="0"/>
        <w:jc w:val="center"/>
        <w:tblLook w:firstColumn="1" w:firstRow="1" w:lastColumn="0" w:lastRow="0" w:noHBand="0" w:noVBand="1" w:val="04A0"/>
      </w:tblPr>
      <w:tblGrid>
        <w:gridCol w:w="1569"/>
        <w:gridCol w:w="1569"/>
        <w:gridCol w:w="1569"/>
        <w:gridCol w:w="1569"/>
        <w:gridCol w:w="1569"/>
        <w:gridCol w:w="1569"/>
      </w:tblGrid>
      <w:tr>
        <w:tc>
          <w:tcPr>
            <w:tcW w:type="dxa" w:w="1814"/>
            <w:shd w:val="clear" w:color="auto" w:fill="1C4753"/>
          </w:tcPr>
          <w:p>
            <w:r/>
            <w:r>
              <w:rPr>
                <w:b/>
                <w:color w:val="FFFFFF"/>
                <w:sz w:val="18"/>
              </w:rPr>
              <w:t>Tool and plan</w:t>
            </w:r>
          </w:p>
        </w:tc>
        <w:tc>
          <w:tcPr>
            <w:tcW w:type="dxa" w:w="1701"/>
            <w:shd w:val="clear" w:color="auto" w:fill="1C4753"/>
          </w:tcPr>
          <w:p>
            <w:r/>
            <w:r>
              <w:rPr>
                <w:b/>
                <w:color w:val="FFFFFF"/>
                <w:sz w:val="18"/>
              </w:rPr>
              <w:t>Approved for</w:t>
            </w:r>
          </w:p>
        </w:tc>
        <w:tc>
          <w:tcPr>
            <w:tcW w:type="dxa" w:w="1701"/>
            <w:shd w:val="clear" w:color="auto" w:fill="1C4753"/>
          </w:tcPr>
          <w:p>
            <w:r/>
            <w:r>
              <w:rPr>
                <w:b/>
                <w:color w:val="FFFFFF"/>
                <w:sz w:val="18"/>
              </w:rPr>
              <w:t>Client information allowed?</w:t>
            </w:r>
          </w:p>
        </w:tc>
        <w:tc>
          <w:tcPr>
            <w:tcW w:type="dxa" w:w="1474"/>
            <w:shd w:val="clear" w:color="auto" w:fill="1C4753"/>
          </w:tcPr>
          <w:p>
            <w:r/>
            <w:r>
              <w:rPr>
                <w:b/>
                <w:color w:val="FFFFFF"/>
                <w:sz w:val="18"/>
              </w:rPr>
              <w:t>Operator agreement / DPA on file</w:t>
            </w:r>
          </w:p>
        </w:tc>
        <w:tc>
          <w:tcPr>
            <w:tcW w:type="dxa" w:w="1361"/>
            <w:shd w:val="clear" w:color="auto" w:fill="1C4753"/>
          </w:tcPr>
          <w:p>
            <w:r/>
            <w:r>
              <w:rPr>
                <w:b/>
                <w:color w:val="FFFFFF"/>
                <w:sz w:val="18"/>
              </w:rPr>
              <w:t>Section 72 basis recorded</w:t>
            </w:r>
          </w:p>
        </w:tc>
        <w:tc>
          <w:tcPr>
            <w:tcW w:type="dxa" w:w="1361"/>
            <w:shd w:val="clear" w:color="auto" w:fill="1C4753"/>
          </w:tcPr>
          <w:p>
            <w:r/>
            <w:r>
              <w:rPr>
                <w:b/>
                <w:color w:val="FFFFFF"/>
                <w:sz w:val="18"/>
              </w:rPr>
              <w:t>Approved by, date</w:t>
            </w:r>
          </w:p>
        </w:tc>
      </w:tr>
      <w:tr>
        <w:tc>
          <w:tcPr>
            <w:tcW w:type="dxa" w:w="1814"/>
          </w:tcPr>
          <w:p>
            <w:r/>
            <w:r>
              <w:rPr>
                <w:sz w:val="18"/>
              </w:rPr>
              <w:t>[e.g. ChatGPT Business workspace of the practice]</w:t>
            </w:r>
          </w:p>
        </w:tc>
        <w:tc>
          <w:tcPr>
            <w:tcW w:type="dxa" w:w="1701"/>
          </w:tcPr>
          <w:p>
            <w:r/>
            <w:r>
              <w:rPr>
                <w:sz w:val="18"/>
              </w:rPr>
              <w:t>[e.g. drafting general content; summarising de-identified notes]</w:t>
            </w:r>
          </w:p>
        </w:tc>
        <w:tc>
          <w:tcPr>
            <w:tcW w:type="dxa" w:w="1701"/>
          </w:tcPr>
          <w:p>
            <w:r/>
            <w:r>
              <w:rPr>
                <w:sz w:val="18"/>
              </w:rPr>
              <w:t>[No / De-identified only / Yes, excluding special personal information]</w:t>
            </w:r>
          </w:p>
        </w:tc>
        <w:tc>
          <w:tcPr>
            <w:tcW w:type="dxa" w:w="1474"/>
          </w:tcPr>
          <w:p>
            <w:r/>
            <w:r>
              <w:rPr>
                <w:sz w:val="18"/>
              </w:rPr>
              <w:t>[Yes, signed date]</w:t>
            </w:r>
          </w:p>
        </w:tc>
        <w:tc>
          <w:tcPr>
            <w:tcW w:type="dxa" w:w="1361"/>
          </w:tcPr>
          <w:p>
            <w:r/>
            <w:r>
              <w:rPr>
                <w:sz w:val="18"/>
              </w:rPr>
              <w:t>[Yes, see PIIA ref]</w:t>
            </w:r>
          </w:p>
        </w:tc>
        <w:tc>
          <w:tcPr>
            <w:tcW w:type="dxa" w:w="1361"/>
          </w:tcPr>
          <w:p>
            <w:r/>
            <w:r>
              <w:rPr>
                <w:sz w:val="18"/>
              </w:rPr>
              <w:t>[IO, date]</w:t>
            </w:r>
          </w:p>
        </w:tc>
      </w:tr>
      <w:tr>
        <w:tc>
          <w:tcPr>
            <w:tcW w:type="dxa" w:w="1814"/>
          </w:tcPr>
          <w:p>
            <w:r/>
            <w:r>
              <w:rPr>
                <w:sz w:val="18"/>
              </w:rPr>
              <w:t>[e.g. practice software with built-in AI]</w:t>
            </w:r>
          </w:p>
        </w:tc>
        <w:tc>
          <w:tcPr>
            <w:tcW w:type="dxa" w:w="1701"/>
          </w:tcPr>
          <w:p>
            <w:r/>
            <w:r>
              <w:rPr>
                <w:sz w:val="18"/>
              </w:rPr>
              <w:t>[purpose]</w:t>
            </w:r>
          </w:p>
        </w:tc>
        <w:tc>
          <w:tcPr>
            <w:tcW w:type="dxa" w:w="1701"/>
          </w:tcPr>
          <w:p>
            <w:r/>
            <w:r>
              <w:rPr>
                <w:sz w:val="18"/>
              </w:rPr>
              <w:t>[ ]</w:t>
            </w:r>
          </w:p>
        </w:tc>
        <w:tc>
          <w:tcPr>
            <w:tcW w:type="dxa" w:w="1474"/>
          </w:tcPr>
          <w:p>
            <w:r/>
            <w:r>
              <w:rPr>
                <w:sz w:val="18"/>
              </w:rPr>
              <w:t>[ ]</w:t>
            </w:r>
          </w:p>
        </w:tc>
        <w:tc>
          <w:tcPr>
            <w:tcW w:type="dxa" w:w="1361"/>
          </w:tcPr>
          <w:p>
            <w:r/>
            <w:r>
              <w:rPr>
                <w:sz w:val="18"/>
              </w:rPr>
              <w:t>[ ]</w:t>
            </w:r>
          </w:p>
        </w:tc>
        <w:tc>
          <w:tcPr>
            <w:tcW w:type="dxa" w:w="1361"/>
          </w:tcPr>
          <w:p>
            <w:r/>
            <w:r>
              <w:rPr>
                <w:sz w:val="18"/>
              </w:rPr>
              <w:t>[ ]</w:t>
            </w:r>
          </w:p>
        </w:tc>
      </w:tr>
      <w:tr>
        <w:tc>
          <w:tcPr>
            <w:tcW w:type="dxa" w:w="1814"/>
          </w:tcPr>
          <w:p>
            <w:r/>
            <w:r>
              <w:rPr>
                <w:sz w:val="18"/>
              </w:rPr>
              <w:t>[ ]</w:t>
            </w:r>
          </w:p>
        </w:tc>
        <w:tc>
          <w:tcPr>
            <w:tcW w:type="dxa" w:w="1701"/>
          </w:tcPr>
          <w:p>
            <w:r/>
            <w:r>
              <w:rPr>
                <w:sz w:val="18"/>
              </w:rPr>
              <w:t>[ ]</w:t>
            </w:r>
          </w:p>
        </w:tc>
        <w:tc>
          <w:tcPr>
            <w:tcW w:type="dxa" w:w="1701"/>
          </w:tcPr>
          <w:p>
            <w:r/>
            <w:r>
              <w:rPr>
                <w:sz w:val="18"/>
              </w:rPr>
              <w:t>[ ]</w:t>
            </w:r>
          </w:p>
        </w:tc>
        <w:tc>
          <w:tcPr>
            <w:tcW w:type="dxa" w:w="1474"/>
          </w:tcPr>
          <w:p>
            <w:r/>
            <w:r>
              <w:rPr>
                <w:sz w:val="18"/>
              </w:rPr>
              <w:t>[ ]</w:t>
            </w:r>
          </w:p>
        </w:tc>
        <w:tc>
          <w:tcPr>
            <w:tcW w:type="dxa" w:w="1361"/>
          </w:tcPr>
          <w:p>
            <w:r/>
            <w:r>
              <w:rPr>
                <w:sz w:val="18"/>
              </w:rPr>
              <w:t>[ ]</w:t>
            </w:r>
          </w:p>
        </w:tc>
        <w:tc>
          <w:tcPr>
            <w:tcW w:type="dxa" w:w="1361"/>
          </w:tcPr>
          <w:p>
            <w:r/>
            <w:r>
              <w:rPr>
                <w:sz w:val="18"/>
              </w:rPr>
              <w:t>[ ]</w:t>
            </w:r>
          </w:p>
        </w:tc>
      </w:tr>
      <w:tr>
        <w:tc>
          <w:tcPr>
            <w:tcW w:type="dxa" w:w="1814"/>
          </w:tcPr>
          <w:p>
            <w:r/>
            <w:r>
              <w:rPr>
                <w:sz w:val="18"/>
              </w:rPr>
              <w:t>[ ]</w:t>
            </w:r>
          </w:p>
        </w:tc>
        <w:tc>
          <w:tcPr>
            <w:tcW w:type="dxa" w:w="1701"/>
          </w:tcPr>
          <w:p>
            <w:r/>
            <w:r>
              <w:rPr>
                <w:sz w:val="18"/>
              </w:rPr>
              <w:t>[ ]</w:t>
            </w:r>
          </w:p>
        </w:tc>
        <w:tc>
          <w:tcPr>
            <w:tcW w:type="dxa" w:w="1701"/>
          </w:tcPr>
          <w:p>
            <w:r/>
            <w:r>
              <w:rPr>
                <w:sz w:val="18"/>
              </w:rPr>
              <w:t>[ ]</w:t>
            </w:r>
          </w:p>
        </w:tc>
        <w:tc>
          <w:tcPr>
            <w:tcW w:type="dxa" w:w="1474"/>
          </w:tcPr>
          <w:p>
            <w:r/>
            <w:r>
              <w:rPr>
                <w:sz w:val="18"/>
              </w:rPr>
              <w:t>[ ]</w:t>
            </w:r>
          </w:p>
        </w:tc>
        <w:tc>
          <w:tcPr>
            <w:tcW w:type="dxa" w:w="1361"/>
          </w:tcPr>
          <w:p>
            <w:r/>
            <w:r>
              <w:rPr>
                <w:sz w:val="18"/>
              </w:rPr>
              <w:t>[ ]</w:t>
            </w:r>
          </w:p>
        </w:tc>
        <w:tc>
          <w:tcPr>
            <w:tcW w:type="dxa" w:w="1361"/>
          </w:tcPr>
          <w:p>
            <w:r/>
            <w:r>
              <w:rPr>
                <w:sz w:val="18"/>
              </w:rPr>
              <w:t>[ ]</w:t>
            </w:r>
          </w:p>
        </w:tc>
      </w:tr>
    </w:tbl>
    <w:p/>
    <w:p>
      <w:pPr>
        <w:pStyle w:val="Heading2"/>
      </w:pPr>
      <w:r>
        <w:t>Prohibited</w:t>
      </w:r>
    </w:p>
    <w:p>
      <w:pPr>
        <w:pStyle w:val="ListBullet"/>
      </w:pPr>
      <w:r>
        <w:t>Personal or free accounts of any AI chat tool (for example ChatGPT Free, Go, Plus or Pro) for any client information, even with training switched off.</w:t>
      </w:r>
    </w:p>
    <w:p>
      <w:pPr>
        <w:pStyle w:val="ListBullet"/>
      </w:pPr>
      <w:r>
        <w:t>Any AI tool not in the register for any client information.</w:t>
      </w:r>
    </w:p>
    <w:p>
      <w:pPr>
        <w:pStyle w:val="ListBullet"/>
      </w:pPr>
      <w:r>
        <w:t>Uploading client documents (fact finds, ID copies, statements, CCP reports, medical reports) to any tool not approved for them.</w:t>
      </w:r>
    </w:p>
    <w:p>
      <w:pPr>
        <w:pStyle w:val="ListBullet"/>
      </w:pPr>
      <w:r>
        <w:t>Meeting recorders or transcription tools on client meetings unless approved and the client has been told.</w:t>
      </w:r>
    </w:p>
    <w:p>
      <w:pPr>
        <w:pStyle w:val="ListBullet"/>
      </w:pPr>
      <w:r>
        <w:t>Using a tool's public sharing features (shared links, public custom assistants) for anything that contains client information.</w:t>
      </w:r>
    </w:p>
    <w:p>
      <w:pPr>
        <w:spacing w:after="160"/>
      </w:pPr>
      <w:r>
        <w:rPr>
          <w:i/>
          <w:color w:val="6B6B70"/>
          <w:sz w:val="18"/>
        </w:rPr>
        <w:t>Guidance: Consumer AI plans usually come with the provider's consumer terms rather than an operator agreement, may use what is typed to improve their models unless the user opts out, and are controlled by the individual, not the practice. Check the provider's current terms; they change often.</w:t>
      </w:r>
    </w:p>
    <w:p>
      <w:pPr>
        <w:pStyle w:val="Heading1"/>
      </w:pPr>
      <w:r>
        <w:t>6. Information that may never be entered</w:t>
      </w:r>
    </w:p>
    <w:p>
      <w:r>
        <w:t>Into any tool that is not approved for client information, users may never enter:</w:t>
      </w:r>
    </w:p>
    <w:p>
      <w:pPr>
        <w:pStyle w:val="ListBullet"/>
      </w:pPr>
      <w:r>
        <w:t>names, initials with surnames, nicknames or signatures of clients or anyone in their file;</w:t>
      </w:r>
    </w:p>
    <w:p>
      <w:pPr>
        <w:pStyle w:val="ListBullet"/>
      </w:pPr>
      <w:r>
        <w:t>South African ID numbers, passport numbers, tax numbers and dates of birth;</w:t>
      </w:r>
    </w:p>
    <w:p>
      <w:pPr>
        <w:pStyle w:val="ListBullet"/>
      </w:pPr>
      <w:r>
        <w:t>policy numbers, investment and account numbers, bank details and member numbers;</w:t>
      </w:r>
    </w:p>
    <w:p>
      <w:pPr>
        <w:pStyle w:val="ListBullet"/>
      </w:pPr>
      <w:r>
        <w:t>addresses, email addresses, phone numbers and employer names;</w:t>
      </w:r>
    </w:p>
    <w:p>
      <w:pPr>
        <w:pStyle w:val="ListBullet"/>
      </w:pPr>
      <w:r>
        <w:t>copies or photos of documents that carry any of the above;</w:t>
      </w:r>
    </w:p>
    <w:p>
      <w:pPr>
        <w:pStyle w:val="ListBullet"/>
      </w:pPr>
      <w:r>
        <w:t>any combination of details that would let someone work out who the client is (for example a rare occupation, a small town and an age).</w:t>
      </w:r>
    </w:p>
    <w:p>
      <w:r>
        <w:t>Into any AI tool at all, including approved ones, unless the approval in section 5 says otherwise in writing:</w:t>
      </w:r>
    </w:p>
    <w:p>
      <w:pPr>
        <w:pStyle w:val="ListBullet"/>
      </w:pPr>
      <w:r>
        <w:t>special personal information, especially health and underwriting details;</w:t>
      </w:r>
    </w:p>
    <w:p>
      <w:pPr>
        <w:pStyle w:val="ListBullet"/>
      </w:pPr>
      <w:r>
        <w:t>information about children beyond relationship and age;</w:t>
      </w:r>
    </w:p>
    <w:p>
      <w:pPr>
        <w:pStyle w:val="ListBullet"/>
      </w:pPr>
      <w:r>
        <w:t>ID numbers, policy numbers and account numbers;</w:t>
      </w:r>
    </w:p>
    <w:p>
      <w:pPr>
        <w:pStyle w:val="ListBullet"/>
      </w:pPr>
      <w:r>
        <w:t>information the client gave in confidence for one purpose that the AI task does not need.</w:t>
      </w:r>
    </w:p>
    <w:p>
      <w:pPr>
        <w:pStyle w:val="Heading1"/>
      </w:pPr>
      <w:r>
        <w:t>7. De-identification rules</w:t>
      </w:r>
    </w:p>
    <w:p>
      <w:r>
        <w:t>Where client facts are needed for an AI task, users de-identify them first, on the practice's own systems:</w:t>
      </w:r>
    </w:p>
    <w:p>
      <w:pPr>
        <w:pStyle w:val="ListNumber"/>
      </w:pPr>
      <w:r>
        <w:t>Remove the identity fields: name, ID number, date of birth, contact details, address, employer, policy and account numbers.</w:t>
      </w:r>
    </w:p>
    <w:p>
      <w:pPr>
        <w:pStyle w:val="ListNumber"/>
      </w:pPr>
      <w:r>
        <w:t>Scrub the free text as well: notes and summaries often name people ("her husband Johan", "the Fortuin trust").</w:t>
      </w:r>
    </w:p>
    <w:p>
      <w:pPr>
        <w:pStyle w:val="ListNumber"/>
      </w:pPr>
      <w:r>
        <w:t>Refer to people by role: "the client", "the spouse", "child 1, aged 9". Use ages, not dates of birth.</w:t>
      </w:r>
    </w:p>
    <w:p>
      <w:pPr>
        <w:pStyle w:val="ListNumber"/>
      </w:pPr>
      <w:r>
        <w:t>Generalise rare details that could identify someone (a niche occupation becomes "professional", a small town becomes the province).</w:t>
      </w:r>
    </w:p>
    <w:p>
      <w:pPr>
        <w:pStyle w:val="ListNumber"/>
      </w:pPr>
      <w:r>
        <w:t>Read what will be sent before sending it. If in doubt, leave it out.</w:t>
      </w:r>
    </w:p>
    <w:p>
      <w:pPr>
        <w:pStyle w:val="ListNumber"/>
      </w:pPr>
      <w:r>
        <w:t>Put the names back only on the practice's own systems, never in the AI tool.</w:t>
      </w:r>
    </w:p>
    <w:p>
      <w:pPr>
        <w:spacing w:after="160"/>
      </w:pPr>
      <w:r>
        <w:rPr>
          <w:i/>
          <w:color w:val="6B6B70"/>
          <w:sz w:val="18"/>
        </w:rPr>
        <w:t>Guidance: Where the practice uses software that de-identifies automatically before calling a model, record how it does so, how it was tested, and what happens when the check finds identity still present (it should stop the request).</w:t>
      </w:r>
    </w:p>
    <w:p>
      <w:pPr>
        <w:pStyle w:val="Heading1"/>
      </w:pPr>
      <w:r>
        <w:t>8. Approving a tool</w:t>
      </w:r>
    </w:p>
    <w:p>
      <w:r>
        <w:t>Before any AI tool is approved for client information, the Information Officer confirms and records each of the following:</w:t>
      </w:r>
    </w:p>
    <w:p>
      <w:pPr>
        <w:pStyle w:val="ListNumber"/>
      </w:pPr>
      <w:r>
        <w:t>The tool is used through a business or enterprise plan, or an API account, held by the practice, not through personal accounts.</w:t>
      </w:r>
    </w:p>
    <w:p>
      <w:pPr>
        <w:pStyle w:val="ListNumber"/>
      </w:pPr>
      <w:r>
        <w:t>The provider does not use the practice's data to train its models, by default and in the contract.</w:t>
      </w:r>
    </w:p>
    <w:p>
      <w:pPr>
        <w:pStyle w:val="ListNumber"/>
      </w:pPr>
      <w:r>
        <w:t>A written agreement makes the provider the practice's operator (sections 20 and 21 of POPIA): it processes only on the practice's instructions, keeps the information confidential, maintains security measures, notifies the practice of any compromise, and binds its sub-processors to the same.</w:t>
      </w:r>
    </w:p>
    <w:p>
      <w:pPr>
        <w:pStyle w:val="ListNumber"/>
      </w:pPr>
      <w:r>
        <w:t>Where the information is stored and processed. If outside South Africa, the ground in section 72 that the transfer relies on (usually a binding agreement giving protection substantially similar to POPIA, or the client's consent) is recorded.</w:t>
      </w:r>
    </w:p>
    <w:p>
      <w:pPr>
        <w:pStyle w:val="ListNumber"/>
      </w:pPr>
      <w:r>
        <w:t>Retention: how long the provider keeps prompts, files and outputs, and the shortest setting the practice can choose.</w:t>
      </w:r>
    </w:p>
    <w:p>
      <w:pPr>
        <w:pStyle w:val="ListNumber"/>
      </w:pPr>
      <w:r>
        <w:t>Access controls: single sign-on or strong sign-in, removal of leavers, and who can see other users' content.</w:t>
      </w:r>
    </w:p>
    <w:p>
      <w:pPr>
        <w:pStyle w:val="ListNumber"/>
      </w:pPr>
      <w:r>
        <w:t>A personal information impact assessment has been done (regulation 4 of the POPIA Regulations) and filed.</w:t>
      </w:r>
    </w:p>
    <w:p>
      <w:pPr>
        <w:pStyle w:val="ListNumber"/>
      </w:pPr>
      <w:r>
        <w:t>The practice's processing records and client privacy notice mention the tool and the purpose.</w:t>
      </w:r>
    </w:p>
    <w:p>
      <w:pPr>
        <w:pStyle w:val="ListNumber"/>
      </w:pPr>
      <w:r>
        <w:t>The Compliance Officer has confirmed the use fits the practice's FAIS duties.</w:t>
      </w:r>
    </w:p>
    <w:p>
      <w:r>
        <w:t>Approval is recorded in the register in section 5 and reviewed whenever the provider changes its terms, plan or data locations.</w:t>
      </w:r>
    </w:p>
    <w:p>
      <w:pPr>
        <w:pStyle w:val="Heading1"/>
      </w:pPr>
      <w:r>
        <w:t>9. Human review and approval</w:t>
      </w:r>
    </w:p>
    <w:p>
      <w:pPr>
        <w:pStyle w:val="ListBullet"/>
      </w:pPr>
      <w:r>
        <w:rPr>
          <w:b/>
        </w:rPr>
        <w:t xml:space="preserve">AI output is a draft. </w:t>
      </w:r>
      <w:r>
        <w:t>Every figure, fact and recommendation an AI tool produces is checked against the source by the user before it is used.</w:t>
      </w:r>
    </w:p>
    <w:p>
      <w:pPr>
        <w:pStyle w:val="ListBullet"/>
      </w:pPr>
      <w:r>
        <w:rPr>
          <w:b/>
        </w:rPr>
        <w:t xml:space="preserve">The representative gives the advice. </w:t>
      </w:r>
      <w:r>
        <w:t>Under FAIS the representative remains responsible for the advice. A Record of Advice or needs analysis drafted with AI is reviewed, corrected and signed by the representative, and filed only when they are satisfied it is theirs.</w:t>
      </w:r>
    </w:p>
    <w:p>
      <w:pPr>
        <w:pStyle w:val="ListBullet"/>
      </w:pPr>
      <w:r>
        <w:rPr>
          <w:b/>
        </w:rPr>
        <w:t xml:space="preserve">No unapproved client messages. </w:t>
      </w:r>
      <w:r>
        <w:t>No AI-drafted email, WhatsApp, letter or notice goes to a client unless a named person has read and approved it.</w:t>
      </w:r>
    </w:p>
    <w:p>
      <w:pPr>
        <w:pStyle w:val="ListBullet"/>
      </w:pPr>
      <w:r>
        <w:rPr>
          <w:b/>
        </w:rPr>
        <w:t xml:space="preserve">No decision by machine alone. </w:t>
      </w:r>
      <w:r>
        <w:t>No decision with legal consequences for a client, or that affects them substantially, is made solely by automated processing that profiles them (section 71 of POPIA). A person decides.</w:t>
      </w:r>
    </w:p>
    <w:p>
      <w:pPr>
        <w:pStyle w:val="ListBullet"/>
      </w:pPr>
      <w:r>
        <w:rPr>
          <w:b/>
        </w:rPr>
        <w:t xml:space="preserve">Openness. </w:t>
      </w:r>
      <w:r>
        <w:t>The practice's privacy notice tells clients that AI tools are used, for what, and how their information is protected.</w:t>
      </w:r>
    </w:p>
    <w:p>
      <w:pPr>
        <w:pStyle w:val="Heading1"/>
      </w:pPr>
      <w:r>
        <w:t>10. Records and logging</w:t>
      </w:r>
    </w:p>
    <w:p>
      <w:pPr>
        <w:pStyle w:val="ListBullet"/>
      </w:pPr>
      <w:r>
        <w:t>The register of approved tools (section 5), with the agreements, section 72 records and impact assessments behind each approval.</w:t>
      </w:r>
    </w:p>
    <w:p>
      <w:pPr>
        <w:pStyle w:val="ListBullet"/>
      </w:pPr>
      <w:r>
        <w:t>Where the tool allows it, a log of what was sent, by whom and when; otherwise the tool's own audit log, kept for [period].</w:t>
      </w:r>
    </w:p>
    <w:p>
      <w:pPr>
        <w:pStyle w:val="ListBullet"/>
      </w:pPr>
      <w:r>
        <w:t>Advice records drafted with AI are kept like any other advice record: at least five years under FAIS, with versions kept.</w:t>
      </w:r>
    </w:p>
    <w:p>
      <w:pPr>
        <w:pStyle w:val="ListBullet"/>
      </w:pPr>
      <w:r>
        <w:t>Training records and signed acknowledgements (section 12).</w:t>
      </w:r>
    </w:p>
    <w:p>
      <w:pPr>
        <w:pStyle w:val="ListBullet"/>
      </w:pPr>
      <w:r>
        <w:t>Incident records (section 11).</w:t>
      </w:r>
    </w:p>
    <w:p>
      <w:pPr>
        <w:pStyle w:val="Heading1"/>
      </w:pPr>
      <w:r>
        <w:t>11. Incidents</w:t>
      </w:r>
    </w:p>
    <w:p>
      <w:r>
        <w:t>Users report to the Information Officer at once, and in any event within [24 hours], if:</w:t>
      </w:r>
    </w:p>
    <w:p>
      <w:pPr>
        <w:pStyle w:val="ListBullet"/>
      </w:pPr>
      <w:r>
        <w:t>client information was entered into a tool not approved for it, by them or anyone else;</w:t>
      </w:r>
    </w:p>
    <w:p>
      <w:pPr>
        <w:pStyle w:val="ListBullet"/>
      </w:pPr>
      <w:r>
        <w:t>an account used for an AI tool may have been accessed by someone else;</w:t>
      </w:r>
    </w:p>
    <w:p>
      <w:pPr>
        <w:pStyle w:val="ListBullet"/>
      </w:pPr>
      <w:r>
        <w:t>a provider reports a breach or a change in how it handles data;</w:t>
      </w:r>
    </w:p>
    <w:p>
      <w:pPr>
        <w:pStyle w:val="ListBullet"/>
      </w:pPr>
      <w:r>
        <w:t>an AI-drafted message reached a client without approval.</w:t>
      </w:r>
    </w:p>
    <w:p>
      <w:r>
        <w:t>The Information Officer assesses each report, takes what steps can be taken (deleting the content, closing the account, asking the provider to delete), and records the outcome. Where there are reasonable grounds to believe that personal information has been accessed or acquired by an unauthorised person, the practice notifies the Information Regulator and the affected clients as soon as reasonably possible, as section 22 of POPIA requires, using the Regulator's eServices portal for the notification to the Regulator.</w:t>
      </w:r>
    </w:p>
    <w:p>
      <w:pPr>
        <w:spacing w:after="160"/>
      </w:pPr>
      <w:r>
        <w:rPr>
          <w:i/>
          <w:color w:val="6B6B70"/>
          <w:sz w:val="18"/>
        </w:rPr>
        <w:t>Guidance: Reporting an honest mistake quickly matters more than the mistake. Say so in the training, so that people report.</w:t>
      </w:r>
    </w:p>
    <w:p>
      <w:pPr>
        <w:pStyle w:val="Heading1"/>
      </w:pPr>
      <w:r>
        <w:t>12. Training and acknowledgement</w:t>
      </w:r>
    </w:p>
    <w:p>
      <w:r>
        <w:t>Every user is trained on this policy when they join, again every [twelve months], and whenever it changes in a way that affects them. A breach of this policy may lead to disciplinary action under the practice's disciplinary code, and, for representatives, to the steps the FAIS fit and proper requirements call for.</w:t>
      </w:r>
    </w:p>
    <w:p>
      <w:pPr>
        <w:pStyle w:val="Heading2"/>
      </w:pPr>
      <w:r>
        <w:t>Acknowledgement</w:t>
      </w:r>
    </w:p>
    <w:p>
      <w:r>
        <w:t>I have read and understood the AI Usage Policy of [Practice name], version [1.0]. I will follow it, and I will report any breach or suspected breach to the Information Officer at once.</w:t>
      </w:r>
    </w:p>
    <w:tbl>
      <w:tblPr>
        <w:tblStyle w:val="TableGrid"/>
        <w:tblW w:type="auto" w:w="0"/>
        <w:jc w:val="center"/>
        <w:tblLook w:firstColumn="1" w:firstRow="1" w:lastColumn="0" w:lastRow="0" w:noHBand="0" w:noVBand="1" w:val="04A0"/>
      </w:tblPr>
      <w:tblGrid>
        <w:gridCol w:w="2353"/>
        <w:gridCol w:w="2353"/>
        <w:gridCol w:w="2353"/>
        <w:gridCol w:w="2353"/>
      </w:tblGrid>
      <w:tr>
        <w:tc>
          <w:tcPr>
            <w:tcW w:type="dxa" w:w="2721"/>
            <w:shd w:val="clear" w:color="auto" w:fill="1C4753"/>
          </w:tcPr>
          <w:p>
            <w:r/>
            <w:r>
              <w:rPr>
                <w:b/>
                <w:color w:val="FFFFFF"/>
                <w:sz w:val="18"/>
              </w:rPr>
              <w:t>Name</w:t>
            </w:r>
          </w:p>
        </w:tc>
        <w:tc>
          <w:tcPr>
            <w:tcW w:type="dxa" w:w="2268"/>
            <w:shd w:val="clear" w:color="auto" w:fill="1C4753"/>
          </w:tcPr>
          <w:p>
            <w:r/>
            <w:r>
              <w:rPr>
                <w:b/>
                <w:color w:val="FFFFFF"/>
                <w:sz w:val="18"/>
              </w:rPr>
              <w:t>Role</w:t>
            </w:r>
          </w:p>
        </w:tc>
        <w:tc>
          <w:tcPr>
            <w:tcW w:type="dxa" w:w="2835"/>
            <w:shd w:val="clear" w:color="auto" w:fill="1C4753"/>
          </w:tcPr>
          <w:p>
            <w:r/>
            <w:r>
              <w:rPr>
                <w:b/>
                <w:color w:val="FFFFFF"/>
                <w:sz w:val="18"/>
              </w:rPr>
              <w:t>Signature</w:t>
            </w:r>
          </w:p>
        </w:tc>
        <w:tc>
          <w:tcPr>
            <w:tcW w:type="dxa" w:w="1587"/>
            <w:shd w:val="clear" w:color="auto" w:fill="1C4753"/>
          </w:tcPr>
          <w:p>
            <w:r/>
            <w:r>
              <w:rPr>
                <w:b/>
                <w:color w:val="FFFFFF"/>
                <w:sz w:val="18"/>
              </w:rPr>
              <w:t>Date</w:t>
            </w:r>
          </w:p>
        </w:tc>
      </w:tr>
      <w:tr>
        <w:tc>
          <w:tcPr>
            <w:tcW w:type="dxa" w:w="2721"/>
          </w:tcPr>
          <w:p>
            <w:r/>
            <w:r>
              <w:rPr>
                <w:sz w:val="18"/>
              </w:rPr>
            </w:r>
          </w:p>
        </w:tc>
        <w:tc>
          <w:tcPr>
            <w:tcW w:type="dxa" w:w="2268"/>
          </w:tcPr>
          <w:p>
            <w:r/>
            <w:r>
              <w:rPr>
                <w:sz w:val="18"/>
              </w:rPr>
            </w:r>
          </w:p>
        </w:tc>
        <w:tc>
          <w:tcPr>
            <w:tcW w:type="dxa" w:w="2835"/>
          </w:tcPr>
          <w:p>
            <w:r/>
            <w:r>
              <w:rPr>
                <w:sz w:val="18"/>
              </w:rPr>
            </w:r>
          </w:p>
        </w:tc>
        <w:tc>
          <w:tcPr>
            <w:tcW w:type="dxa" w:w="1587"/>
          </w:tcPr>
          <w:p>
            <w:r/>
            <w:r>
              <w:rPr>
                <w:sz w:val="18"/>
              </w:rPr>
            </w:r>
          </w:p>
        </w:tc>
      </w:tr>
      <w:tr>
        <w:tc>
          <w:tcPr>
            <w:tcW w:type="dxa" w:w="2721"/>
          </w:tcPr>
          <w:p>
            <w:r/>
            <w:r>
              <w:rPr>
                <w:sz w:val="18"/>
              </w:rPr>
            </w:r>
          </w:p>
        </w:tc>
        <w:tc>
          <w:tcPr>
            <w:tcW w:type="dxa" w:w="2268"/>
          </w:tcPr>
          <w:p>
            <w:r/>
            <w:r>
              <w:rPr>
                <w:sz w:val="18"/>
              </w:rPr>
            </w:r>
          </w:p>
        </w:tc>
        <w:tc>
          <w:tcPr>
            <w:tcW w:type="dxa" w:w="2835"/>
          </w:tcPr>
          <w:p>
            <w:r/>
            <w:r>
              <w:rPr>
                <w:sz w:val="18"/>
              </w:rPr>
            </w:r>
          </w:p>
        </w:tc>
        <w:tc>
          <w:tcPr>
            <w:tcW w:type="dxa" w:w="1587"/>
          </w:tcPr>
          <w:p>
            <w:r/>
            <w:r>
              <w:rPr>
                <w:sz w:val="18"/>
              </w:rPr>
            </w:r>
          </w:p>
        </w:tc>
      </w:tr>
      <w:tr>
        <w:tc>
          <w:tcPr>
            <w:tcW w:type="dxa" w:w="2721"/>
          </w:tcPr>
          <w:p>
            <w:r/>
            <w:r>
              <w:rPr>
                <w:sz w:val="18"/>
              </w:rPr>
            </w:r>
          </w:p>
        </w:tc>
        <w:tc>
          <w:tcPr>
            <w:tcW w:type="dxa" w:w="2268"/>
          </w:tcPr>
          <w:p>
            <w:r/>
            <w:r>
              <w:rPr>
                <w:sz w:val="18"/>
              </w:rPr>
            </w:r>
          </w:p>
        </w:tc>
        <w:tc>
          <w:tcPr>
            <w:tcW w:type="dxa" w:w="2835"/>
          </w:tcPr>
          <w:p>
            <w:r/>
            <w:r>
              <w:rPr>
                <w:sz w:val="18"/>
              </w:rPr>
            </w:r>
          </w:p>
        </w:tc>
        <w:tc>
          <w:tcPr>
            <w:tcW w:type="dxa" w:w="1587"/>
          </w:tcPr>
          <w:p>
            <w:r/>
            <w:r>
              <w:rPr>
                <w:sz w:val="18"/>
              </w:rPr>
            </w:r>
          </w:p>
        </w:tc>
      </w:tr>
      <w:tr>
        <w:tc>
          <w:tcPr>
            <w:tcW w:type="dxa" w:w="2721"/>
          </w:tcPr>
          <w:p>
            <w:r/>
            <w:r>
              <w:rPr>
                <w:sz w:val="18"/>
              </w:rPr>
            </w:r>
          </w:p>
        </w:tc>
        <w:tc>
          <w:tcPr>
            <w:tcW w:type="dxa" w:w="2268"/>
          </w:tcPr>
          <w:p>
            <w:r/>
            <w:r>
              <w:rPr>
                <w:sz w:val="18"/>
              </w:rPr>
            </w:r>
          </w:p>
        </w:tc>
        <w:tc>
          <w:tcPr>
            <w:tcW w:type="dxa" w:w="2835"/>
          </w:tcPr>
          <w:p>
            <w:r/>
            <w:r>
              <w:rPr>
                <w:sz w:val="18"/>
              </w:rPr>
            </w:r>
          </w:p>
        </w:tc>
        <w:tc>
          <w:tcPr>
            <w:tcW w:type="dxa" w:w="1587"/>
          </w:tcPr>
          <w:p>
            <w:r/>
            <w:r>
              <w:rPr>
                <w:sz w:val="18"/>
              </w:rPr>
            </w:r>
          </w:p>
        </w:tc>
      </w:tr>
      <w:tr>
        <w:tc>
          <w:tcPr>
            <w:tcW w:type="dxa" w:w="2721"/>
          </w:tcPr>
          <w:p>
            <w:r/>
            <w:r>
              <w:rPr>
                <w:sz w:val="18"/>
              </w:rPr>
            </w:r>
          </w:p>
        </w:tc>
        <w:tc>
          <w:tcPr>
            <w:tcW w:type="dxa" w:w="2268"/>
          </w:tcPr>
          <w:p>
            <w:r/>
            <w:r>
              <w:rPr>
                <w:sz w:val="18"/>
              </w:rPr>
            </w:r>
          </w:p>
        </w:tc>
        <w:tc>
          <w:tcPr>
            <w:tcW w:type="dxa" w:w="2835"/>
          </w:tcPr>
          <w:p>
            <w:r/>
            <w:r>
              <w:rPr>
                <w:sz w:val="18"/>
              </w:rPr>
            </w:r>
          </w:p>
        </w:tc>
        <w:tc>
          <w:tcPr>
            <w:tcW w:type="dxa" w:w="1587"/>
          </w:tcPr>
          <w:p>
            <w:r/>
            <w:r>
              <w:rPr>
                <w:sz w:val="18"/>
              </w:rPr>
            </w:r>
          </w:p>
        </w:tc>
      </w:tr>
      <w:tr>
        <w:tc>
          <w:tcPr>
            <w:tcW w:type="dxa" w:w="2721"/>
          </w:tcPr>
          <w:p>
            <w:r/>
            <w:r>
              <w:rPr>
                <w:sz w:val="18"/>
              </w:rPr>
            </w:r>
          </w:p>
        </w:tc>
        <w:tc>
          <w:tcPr>
            <w:tcW w:type="dxa" w:w="2268"/>
          </w:tcPr>
          <w:p>
            <w:r/>
            <w:r>
              <w:rPr>
                <w:sz w:val="18"/>
              </w:rPr>
            </w:r>
          </w:p>
        </w:tc>
        <w:tc>
          <w:tcPr>
            <w:tcW w:type="dxa" w:w="2835"/>
          </w:tcPr>
          <w:p>
            <w:r/>
            <w:r>
              <w:rPr>
                <w:sz w:val="18"/>
              </w:rPr>
            </w:r>
          </w:p>
        </w:tc>
        <w:tc>
          <w:tcPr>
            <w:tcW w:type="dxa" w:w="1587"/>
          </w:tcPr>
          <w:p>
            <w:r/>
            <w:r>
              <w:rPr>
                <w:sz w:val="18"/>
              </w:rPr>
            </w:r>
          </w:p>
        </w:tc>
      </w:tr>
      <w:tr>
        <w:tc>
          <w:tcPr>
            <w:tcW w:type="dxa" w:w="2721"/>
          </w:tcPr>
          <w:p>
            <w:r/>
            <w:r>
              <w:rPr>
                <w:sz w:val="18"/>
              </w:rPr>
            </w:r>
          </w:p>
        </w:tc>
        <w:tc>
          <w:tcPr>
            <w:tcW w:type="dxa" w:w="2268"/>
          </w:tcPr>
          <w:p>
            <w:r/>
            <w:r>
              <w:rPr>
                <w:sz w:val="18"/>
              </w:rPr>
            </w:r>
          </w:p>
        </w:tc>
        <w:tc>
          <w:tcPr>
            <w:tcW w:type="dxa" w:w="2835"/>
          </w:tcPr>
          <w:p>
            <w:r/>
            <w:r>
              <w:rPr>
                <w:sz w:val="18"/>
              </w:rPr>
            </w:r>
          </w:p>
        </w:tc>
        <w:tc>
          <w:tcPr>
            <w:tcW w:type="dxa" w:w="1587"/>
          </w:tcPr>
          <w:p>
            <w:r/>
            <w:r>
              <w:rPr>
                <w:sz w:val="18"/>
              </w:rPr>
            </w:r>
          </w:p>
        </w:tc>
      </w:tr>
      <w:tr>
        <w:tc>
          <w:tcPr>
            <w:tcW w:type="dxa" w:w="2721"/>
          </w:tcPr>
          <w:p>
            <w:r/>
            <w:r>
              <w:rPr>
                <w:sz w:val="18"/>
              </w:rPr>
            </w:r>
          </w:p>
        </w:tc>
        <w:tc>
          <w:tcPr>
            <w:tcW w:type="dxa" w:w="2268"/>
          </w:tcPr>
          <w:p>
            <w:r/>
            <w:r>
              <w:rPr>
                <w:sz w:val="18"/>
              </w:rPr>
            </w:r>
          </w:p>
        </w:tc>
        <w:tc>
          <w:tcPr>
            <w:tcW w:type="dxa" w:w="2835"/>
          </w:tcPr>
          <w:p>
            <w:r/>
            <w:r>
              <w:rPr>
                <w:sz w:val="18"/>
              </w:rPr>
            </w:r>
          </w:p>
        </w:tc>
        <w:tc>
          <w:tcPr>
            <w:tcW w:type="dxa" w:w="1587"/>
          </w:tcPr>
          <w:p>
            <w:r/>
            <w:r>
              <w:rPr>
                <w:sz w:val="18"/>
              </w:rPr>
            </w:r>
          </w:p>
        </w:tc>
      </w:tr>
    </w:tbl>
    <w:p/>
    <w:p>
      <w:pPr>
        <w:pStyle w:val="Heading1"/>
      </w:pPr>
      <w:r>
        <w:t>13. Review</w:t>
      </w:r>
    </w:p>
    <w:p>
      <w:r>
        <w:t>The Information Officer reviews this policy at least every twelve months, and sooner when the practice adopts a new AI tool, a provider changes its terms, plans or data locations, the Information Regulator or the FSCA issues guidance on AI, or an incident shows a gap. Next review date: [date].</w:t>
      </w:r>
    </w:p>
    <w:tbl>
      <w:tblPr>
        <w:tblStyle w:val="TableGrid"/>
        <w:tblW w:type="auto" w:w="0"/>
        <w:jc w:val="center"/>
        <w:tblLook w:firstColumn="1" w:firstRow="1" w:lastColumn="0" w:lastRow="0" w:noHBand="0" w:noVBand="1" w:val="04A0"/>
      </w:tblPr>
      <w:tblGrid>
        <w:gridCol w:w="2353"/>
        <w:gridCol w:w="2353"/>
        <w:gridCol w:w="2353"/>
        <w:gridCol w:w="2353"/>
      </w:tblGrid>
      <w:tr>
        <w:tc>
          <w:tcPr>
            <w:tcW w:type="dxa" w:w="2721"/>
            <w:shd w:val="clear" w:color="auto" w:fill="1C4753"/>
          </w:tcPr>
          <w:p>
            <w:r/>
            <w:r>
              <w:rPr>
                <w:b/>
                <w:color w:val="FFFFFF"/>
                <w:sz w:val="18"/>
              </w:rPr>
              <w:t>Approved by</w:t>
            </w:r>
          </w:p>
        </w:tc>
        <w:tc>
          <w:tcPr>
            <w:tcW w:type="dxa" w:w="2268"/>
            <w:shd w:val="clear" w:color="auto" w:fill="1C4753"/>
          </w:tcPr>
          <w:p>
            <w:r/>
            <w:r>
              <w:rPr>
                <w:b/>
                <w:color w:val="FFFFFF"/>
                <w:sz w:val="18"/>
              </w:rPr>
              <w:t>Role</w:t>
            </w:r>
          </w:p>
        </w:tc>
        <w:tc>
          <w:tcPr>
            <w:tcW w:type="dxa" w:w="2835"/>
            <w:shd w:val="clear" w:color="auto" w:fill="1C4753"/>
          </w:tcPr>
          <w:p>
            <w:r/>
            <w:r>
              <w:rPr>
                <w:b/>
                <w:color w:val="FFFFFF"/>
                <w:sz w:val="18"/>
              </w:rPr>
              <w:t>Signature</w:t>
            </w:r>
          </w:p>
        </w:tc>
        <w:tc>
          <w:tcPr>
            <w:tcW w:type="dxa" w:w="1587"/>
            <w:shd w:val="clear" w:color="auto" w:fill="1C4753"/>
          </w:tcPr>
          <w:p>
            <w:r/>
            <w:r>
              <w:rPr>
                <w:b/>
                <w:color w:val="FFFFFF"/>
                <w:sz w:val="18"/>
              </w:rPr>
              <w:t>Date</w:t>
            </w:r>
          </w:p>
        </w:tc>
      </w:tr>
      <w:tr>
        <w:tc>
          <w:tcPr>
            <w:tcW w:type="dxa" w:w="2721"/>
          </w:tcPr>
          <w:p>
            <w:r/>
            <w:r>
              <w:rPr>
                <w:sz w:val="18"/>
              </w:rPr>
              <w:t>[Name]</w:t>
            </w:r>
          </w:p>
        </w:tc>
        <w:tc>
          <w:tcPr>
            <w:tcW w:type="dxa" w:w="2268"/>
          </w:tcPr>
          <w:p>
            <w:r/>
            <w:r>
              <w:rPr>
                <w:sz w:val="18"/>
              </w:rPr>
              <w:t>Information Officer</w:t>
            </w:r>
          </w:p>
        </w:tc>
        <w:tc>
          <w:tcPr>
            <w:tcW w:type="dxa" w:w="2835"/>
          </w:tcPr>
          <w:p>
            <w:r/>
            <w:r>
              <w:rPr>
                <w:sz w:val="18"/>
              </w:rPr>
            </w:r>
          </w:p>
        </w:tc>
        <w:tc>
          <w:tcPr>
            <w:tcW w:type="dxa" w:w="1587"/>
          </w:tcPr>
          <w:p>
            <w:r/>
            <w:r>
              <w:rPr>
                <w:sz w:val="18"/>
              </w:rPr>
            </w:r>
          </w:p>
        </w:tc>
      </w:tr>
      <w:tr>
        <w:tc>
          <w:tcPr>
            <w:tcW w:type="dxa" w:w="2721"/>
          </w:tcPr>
          <w:p>
            <w:r/>
            <w:r>
              <w:rPr>
                <w:sz w:val="18"/>
              </w:rPr>
              <w:t>[Name]</w:t>
            </w:r>
          </w:p>
        </w:tc>
        <w:tc>
          <w:tcPr>
            <w:tcW w:type="dxa" w:w="2268"/>
          </w:tcPr>
          <w:p>
            <w:r/>
            <w:r>
              <w:rPr>
                <w:sz w:val="18"/>
              </w:rPr>
              <w:t>Compliance Officer</w:t>
            </w:r>
          </w:p>
        </w:tc>
        <w:tc>
          <w:tcPr>
            <w:tcW w:type="dxa" w:w="2835"/>
          </w:tcPr>
          <w:p>
            <w:r/>
            <w:r>
              <w:rPr>
                <w:sz w:val="18"/>
              </w:rPr>
            </w:r>
          </w:p>
        </w:tc>
        <w:tc>
          <w:tcPr>
            <w:tcW w:type="dxa" w:w="1587"/>
          </w:tcPr>
          <w:p>
            <w:r/>
            <w:r>
              <w:rPr>
                <w:sz w:val="18"/>
              </w:rPr>
            </w:r>
          </w:p>
        </w:tc>
      </w:tr>
      <w:tr>
        <w:tc>
          <w:tcPr>
            <w:tcW w:type="dxa" w:w="2721"/>
          </w:tcPr>
          <w:p>
            <w:r/>
            <w:r>
              <w:rPr>
                <w:sz w:val="18"/>
              </w:rPr>
              <w:t>[Name]</w:t>
            </w:r>
          </w:p>
        </w:tc>
        <w:tc>
          <w:tcPr>
            <w:tcW w:type="dxa" w:w="2268"/>
          </w:tcPr>
          <w:p>
            <w:r/>
            <w:r>
              <w:rPr>
                <w:sz w:val="18"/>
              </w:rPr>
              <w:t>Key individual</w:t>
            </w:r>
          </w:p>
        </w:tc>
        <w:tc>
          <w:tcPr>
            <w:tcW w:type="dxa" w:w="2835"/>
          </w:tcPr>
          <w:p>
            <w:r/>
            <w:r>
              <w:rPr>
                <w:sz w:val="18"/>
              </w:rPr>
            </w:r>
          </w:p>
        </w:tc>
        <w:tc>
          <w:tcPr>
            <w:tcW w:type="dxa" w:w="1587"/>
          </w:tcPr>
          <w:p>
            <w:r/>
            <w:r>
              <w:rPr>
                <w:sz w:val="18"/>
              </w:rPr>
            </w:r>
          </w:p>
        </w:tc>
      </w:tr>
    </w:tbl>
    <w:p/>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70"/>
        <w:sz w:val="16"/>
      </w:rPr>
      <w:t xml:space="preserve">Template from tallify.co.za. A practical template, not legal advice; have your compliance officer review it.  Page </w:t>
    </w:r>
    <w:r>
      <w:rPr>
        <w:color w:val="6B6B70"/>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b/>
      <w:bCs/>
      <w:color w:val="1C4753"/>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b/>
      <w:bCs/>
      <w:color w:val="1C475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160"/>
      <w:contextualSpacing/>
    </w:pPr>
    <w:rPr>
      <w:rFonts w:ascii="Calibri" w:hAnsi="Calibri"/>
      <w:b/>
      <w:color w:val="1C4753"/>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Usage Policy template</dc:title>
  <dc:subject/>
  <dc:creator>tallify.co.za</dc:creator>
  <cp:keywords/>
  <dc:description>Template from tallify.co.za. A practical template, not legal advice; have your compliance officer review it.</dc:description>
  <cp:lastModifiedBy/>
  <cp:revision>1</cp:revision>
  <dcterms:created xsi:type="dcterms:W3CDTF">2013-12-23T23:15:00Z</dcterms:created>
  <dcterms:modified xsi:type="dcterms:W3CDTF">2013-12-23T23:15:00Z</dcterms:modified>
  <cp:category/>
</cp:coreProperties>
</file>